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cs="宋体" w:eastAsia="宋体" w:hAnsi="宋体"/>
          <w:b/>
          <w:color w:val="auto"/>
          <w:sz w:val="44"/>
        </w:rPr>
      </w:pPr>
      <w:r>
        <w:rPr>
          <w:rFonts w:ascii="宋体" w:cs="宋体" w:eastAsia="宋体" w:hAnsi="宋体" w:hint="eastAsia"/>
          <w:b/>
          <w:color w:val="auto"/>
          <w:sz w:val="44"/>
        </w:rPr>
        <w:t>海南省第三卫生学校</w:t>
      </w:r>
    </w:p>
    <w:p>
      <w:pPr>
        <w:pStyle w:val="style0"/>
        <w:widowControl/>
        <w:tabs>
          <w:tab w:val="left" w:leader="none" w:pos="315"/>
          <w:tab w:val="center" w:leader="none" w:pos="4153"/>
        </w:tabs>
        <w:kinsoku w:val="false"/>
        <w:autoSpaceDE w:val="false"/>
        <w:autoSpaceDN w:val="false"/>
        <w:adjustRightInd w:val="false"/>
        <w:snapToGrid w:val="false"/>
        <w:spacing w:before="120" w:after="120" w:lineRule="exact" w:line="420"/>
        <w:jc w:val="center"/>
        <w:textAlignment w:val="baseline"/>
        <w:rPr>
          <w:rFonts w:ascii="宋体" w:cs="宋体" w:eastAsia="宋体" w:hAnsi="宋体"/>
          <w:b/>
          <w:snapToGrid w:val="false"/>
          <w:color w:val="auto"/>
          <w:kern w:val="0"/>
          <w:sz w:val="44"/>
          <w:szCs w:val="32"/>
        </w:rPr>
      </w:pPr>
      <w:r>
        <w:rPr>
          <w:rFonts w:ascii="宋体" w:cs="宋体" w:eastAsia="宋体" w:hAnsi="宋体" w:hint="eastAsia"/>
          <w:b/>
          <w:snapToGrid w:val="false"/>
          <w:color w:val="auto"/>
          <w:kern w:val="0"/>
          <w:sz w:val="44"/>
          <w:szCs w:val="32"/>
        </w:rPr>
        <w:t>2024年学生健康体检项目招标公告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根据项目实施要求，我校需对2024年学生健康体检项目进行招标采购，现决定以校内公开招标的方式对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eastAsia="zh-CN"/>
        </w:rPr>
        <w:t>该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项目进行比选招标，欢迎符合资质并有意向的单位前来投标竞价。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一、项目名称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2024年学生健康体检项目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二、项目内容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对全校2023级和2024级各专业班级学生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eastAsia="zh-CN"/>
        </w:rPr>
        <w:t>（约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val="en-US" w:eastAsia="zh-CN"/>
        </w:rPr>
        <w:t>1900人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eastAsia="zh-CN"/>
        </w:rPr>
        <w:t>）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进行健康体检，体检内容包括身高、体重、血压测量等项目（详情见附件1）。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三、项目预算:139.05元/人。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四、采购方式: 综合比选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五、项目完成期限：签订合同后30日历天内。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六、投标有效期：90天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七、响应单位资格要求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(一)在中华人民共和国注册的、具有独立承担民事责任能力;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(二)</w:t>
      </w:r>
      <w:r>
        <w:rPr>
          <w:rFonts w:hint="eastAsia"/>
          <w:b w:val="false"/>
          <w:bCs w:val="false"/>
          <w:color w:val="auto"/>
        </w:rPr>
        <w:t xml:space="preserve"> 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应具备国家或地方规定的相应资格资质的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eastAsia="zh-CN"/>
        </w:rPr>
        <w:t>医疗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机构（提供资格证书复印件）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(三)具有依法缴纳税收和社会保障资金的良好记录;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(四)具有履行项目所必需的人员和资质;</w:t>
      </w:r>
    </w:p>
    <w:p>
      <w:pPr>
        <w:pStyle w:val="style0"/>
        <w:ind w:firstLine="640" w:firstLineChars="200"/>
        <w:jc w:val="left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(五) 未被列入：中国执行信息公开网（http://zxgk.court.gov.cn/）的“失信被执行人”；信用中国网站（www.creditchina.gov.cn）的“政府采购严重违法失信名单”、“重大税收违法失信主体”和中国政府采购网（www.ccgp.gov.cn）的“政府采购严重违法失信行为记录名单”网站公布的信用记录为准（注：采购人将于本项目投标截止日在“信用中国”网站、“中国执行信息公开网”、“中国政府采购网”网站等渠道对投标人进行信用记录查询，存在不良信用记录，参与本项目的将被拒绝）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(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eastAsia="zh-CN"/>
        </w:rPr>
        <w:t>六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)法定代表人为同一人的两个及两个以上法人、母公司、全资子公司及其控股公司，不得在本项目中同时参加比选;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(七)网络报名且响应文件材料正本扫描PDF版打包加密并发送至邮箱。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(八) 具备法律、行政法规规定的其他条件。</w:t>
      </w:r>
    </w:p>
    <w:p>
      <w:pPr>
        <w:pStyle w:val="style0"/>
        <w:ind w:left="638" w:leftChars="304" w:firstLine="0" w:firstLineChars="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八、网络报名需要提供的材料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br/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（一）营业执照扫描件PDF版；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（二）投标单位法人授权委托书、投标单位法定代表人及授权委托人身份证扫描件PDF版（格式自定）；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（三）参加投标的项目名称及联系方式PDF版（格式自定）；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（四）网络报名时间：2024年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10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月</w:t>
      </w:r>
      <w:r>
        <w:rPr>
          <w:rFonts w:ascii="仿宋_GB2312" w:cs="仿宋_GB2312" w:eastAsia="仿宋_GB2312" w:hAnsi="仿宋_GB2312" w:hint="default"/>
          <w:b w:val="false"/>
          <w:bCs w:val="false"/>
          <w:color w:val="auto"/>
          <w:sz w:val="32"/>
          <w:szCs w:val="32"/>
          <w:lang w:val="en-US"/>
        </w:rPr>
        <w:t>21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日至2024年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10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月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val="en-US" w:eastAsia="zh-CN"/>
        </w:rPr>
        <w:t>2</w:t>
      </w:r>
      <w:r>
        <w:rPr>
          <w:rFonts w:ascii="仿宋_GB2312" w:cs="仿宋_GB2312" w:eastAsia="仿宋_GB2312" w:hAnsi="仿宋_GB2312" w:hint="default"/>
          <w:b w:val="false"/>
          <w:bCs w:val="false"/>
          <w:color w:val="auto"/>
          <w:sz w:val="32"/>
          <w:szCs w:val="32"/>
          <w:lang w:val="en-US" w:eastAsia="zh-CN"/>
        </w:rPr>
        <w:t>3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日；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（五）网上报名（</w:t>
      </w:r>
      <w:r>
        <w:rPr>
          <w:b w:val="false"/>
          <w:bCs w:val="false"/>
          <w:color w:val="auto"/>
        </w:rPr>
        <w:fldChar w:fldCharType="begin"/>
      </w:r>
      <w:r>
        <w:rPr>
          <w:b w:val="false"/>
          <w:bCs w:val="false"/>
          <w:color w:val="auto"/>
        </w:rPr>
        <w:instrText xml:space="preserve"> HYPERLINK "mailto:网上报名通过邮箱发送报名资料PDF版至邮箱dswxjwk@163.com" </w:instrText>
      </w:r>
      <w:r>
        <w:rPr>
          <w:b w:val="false"/>
          <w:bCs w:val="false"/>
          <w:color w:val="auto"/>
        </w:rPr>
        <w:fldChar w:fldCharType="separate"/>
      </w:r>
      <w:r>
        <w:rPr>
          <w:rStyle w:val="style85"/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u w:val="none"/>
        </w:rPr>
        <w:t>网上报名通过邮箱发送报名资料PDF版至邮箱</w:t>
      </w:r>
      <w:r>
        <w:rPr>
          <w:rStyle w:val="style85"/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  <w:u w:val="none"/>
        </w:rPr>
        <w:t>dswxjwk@163.com</w:t>
      </w:r>
      <w:r>
        <w:rPr>
          <w:rStyle w:val="style85"/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  <w:u w:val="none"/>
        </w:rPr>
        <w:fldChar w:fldCharType="end"/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）；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九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、响应文件材料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、递交截止、开标时间：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（一）响应单位将响应文件材料A4幅面按顺序胶装成册，正本1份，密封报送，密封袋封面填写项目名称、单位名称、联系人及联系电话；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另将响应文件材料正本扫描PDF版打包加密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并发送至邮箱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dswxjwk@163.com</w:t>
      </w:r>
      <w:r>
        <w:rPr>
          <w:rFonts w:ascii="Calibri" w:cs="Calibri" w:eastAsia="仿宋_GB2312" w:hAnsi="Calibri"/>
          <w:b w:val="false"/>
          <w:bCs w:val="false"/>
          <w:color w:val="auto"/>
          <w:sz w:val="32"/>
          <w:szCs w:val="32"/>
        </w:rPr>
        <w:t> 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，密码单独填写于一张A4纸，并与响应文件材料一起密封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邮寄（或现场）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报送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 xml:space="preserve">。地址：海南省琼海市嘉积镇富海路69号海南省第三卫生学校 郭老师 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13876638847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（二）递交截止时间：2024年10月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val="en-US" w:eastAsia="zh-CN"/>
        </w:rPr>
        <w:t>2</w:t>
      </w:r>
      <w:r>
        <w:rPr>
          <w:rFonts w:ascii="仿宋_GB2312" w:cs="仿宋_GB2312" w:eastAsia="仿宋_GB2312" w:hAnsi="仿宋_GB2312" w:hint="default"/>
          <w:b w:val="false"/>
          <w:bCs w:val="false"/>
          <w:color w:val="auto"/>
          <w:sz w:val="32"/>
          <w:szCs w:val="32"/>
          <w:lang w:val="en-US" w:eastAsia="zh-CN"/>
        </w:rPr>
        <w:t>5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日 下午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17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:30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（三）开标时间：学校自行安排，投标人不需出席开标会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（四）响应文件材料（详情见附件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2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）：</w:t>
      </w:r>
    </w:p>
    <w:p>
      <w:pPr>
        <w:pStyle w:val="style0"/>
        <w:ind w:firstLine="72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6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6"/>
          <w:szCs w:val="32"/>
        </w:rPr>
        <w:t>十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6"/>
          <w:szCs w:val="32"/>
        </w:rPr>
        <w:t>、评审方法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响应文件材料经资格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审查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合格后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，进入详细的评审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比选</w:t>
      </w:r>
      <w:r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  <w:t>。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依据网络报名参与的单位提交的资质、业务领域、业绩、人员技术力量、报价及信用等因素，对响应单位进行评比并提交学校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  <w:lang w:eastAsia="zh-CN"/>
        </w:rPr>
        <w:t>项目招投标工作</w:t>
      </w: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小组研究确定后,下达中选通知书，不入围单位不再另行通知。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十一、采购人联系方式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地  址：海南省琼海市嘉积镇富海路69号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联系人：郭老师</w:t>
      </w: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  <w:t>电话：13876638847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b/>
          <w:sz w:val="40"/>
          <w:szCs w:val="32"/>
        </w:rPr>
      </w:pPr>
      <w:r>
        <w:rPr>
          <w:rFonts w:ascii="仿宋_GB2312" w:cs="仿宋_GB2312" w:eastAsia="仿宋_GB2312" w:hAnsi="仿宋_GB2312" w:hint="eastAsia"/>
          <w:b/>
          <w:sz w:val="40"/>
          <w:szCs w:val="32"/>
        </w:rPr>
        <w:t>附件1</w:t>
      </w:r>
    </w:p>
    <w:p>
      <w:pPr>
        <w:pStyle w:val="style0"/>
        <w:ind w:firstLine="1285" w:firstLineChars="400"/>
        <w:rPr>
          <w:rFonts w:ascii="宋体" w:cs="宋体" w:eastAsia="宋体" w:hAnsi="宋体"/>
          <w:b/>
          <w:sz w:val="32"/>
          <w:szCs w:val="32"/>
        </w:rPr>
      </w:pPr>
      <w:r>
        <w:rPr>
          <w:rFonts w:ascii="宋体" w:cs="宋体" w:eastAsia="宋体" w:hAnsi="宋体" w:hint="eastAsia"/>
          <w:b/>
          <w:sz w:val="32"/>
          <w:szCs w:val="32"/>
        </w:rPr>
        <w:t>海南省第三卫校2024学生健康体检预算清单</w:t>
      </w:r>
    </w:p>
    <w:tbl>
      <w:tblPr>
        <w:tblStyle w:val="style105"/>
        <w:tblW w:w="9976" w:type="dxa"/>
        <w:tblInd w:w="-7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490"/>
        <w:gridCol w:w="4035"/>
        <w:gridCol w:w="1140"/>
        <w:gridCol w:w="1696"/>
      </w:tblGrid>
      <w:tr>
        <w:trPr>
          <w:trHeight w:val="74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检查临床意义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单项收费（元）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trHeight w:val="4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身高、体重、血压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检测高血压、体重指数。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27.00  （体检费）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按照海南省医疗服务价格（2021版）</w:t>
            </w:r>
          </w:p>
        </w:tc>
      </w:tr>
      <w:tr>
        <w:tblPrEx/>
        <w:trPr>
          <w:trHeight w:val="4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检测中耳炎、鼻息肉、鼻炎、咽炎。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9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内科、外科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检查肝胆脾、心脏病、心律失常及肺部疾病、检测脊柱四肢关节是否异常等。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4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视力、色觉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检测近视、弱视、色盲等。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80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了解口腔健康状况，如龋齿、牙周病等。</w:t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60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肝功能二项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检查肝脏功能、胆道、胰腺疾病。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4.40 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82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血常规（五分类）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贫血、凝血功能障碍等血液病的重要信息及感染疾患的辅助信息。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17.00 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4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结核分枝杆菌感染检测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肺结核筛查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7.70 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4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抽血+耗材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72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DR(胸部照片）       （不含胶片）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检查肺结核、肺癌、支气管肺炎、纵膈肿瘤、心脏疾病等。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70.95 </w:t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46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139.05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b/>
          <w:sz w:val="40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b/>
          <w:sz w:val="40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b/>
          <w:sz w:val="40"/>
          <w:szCs w:val="32"/>
        </w:rPr>
      </w:pPr>
      <w:r>
        <w:rPr>
          <w:rFonts w:ascii="仿宋_GB2312" w:cs="仿宋_GB2312" w:eastAsia="仿宋_GB2312" w:hAnsi="仿宋_GB2312" w:hint="eastAsia"/>
          <w:b/>
          <w:sz w:val="40"/>
          <w:szCs w:val="32"/>
        </w:rPr>
        <w:t>附件2</w:t>
      </w:r>
    </w:p>
    <w:p>
      <w:pPr>
        <w:pStyle w:val="style0"/>
        <w:rPr>
          <w:rFonts w:ascii="仿宋_GB2312" w:cs="仿宋_GB2312" w:eastAsia="仿宋_GB2312" w:hAnsi="仿宋_GB2312"/>
          <w:b/>
          <w:sz w:val="44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b/>
          <w:sz w:val="44"/>
          <w:szCs w:val="32"/>
        </w:rPr>
      </w:pPr>
      <w:r>
        <w:rPr>
          <w:rFonts w:ascii="仿宋_GB2312" w:cs="仿宋_GB2312" w:eastAsia="仿宋_GB2312" w:hAnsi="仿宋_GB2312" w:hint="eastAsia"/>
          <w:b/>
          <w:sz w:val="44"/>
          <w:szCs w:val="32"/>
        </w:rPr>
        <w:t>响应文件材料</w:t>
      </w: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1.响应单位简介</w:t>
      </w: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2.在中华人民共和国注册的、具有独立承担民事责任能力;</w:t>
      </w: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3.应具备国家或地方规定的相应资格资质的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医疗</w:t>
      </w:r>
      <w:r>
        <w:rPr>
          <w:rFonts w:ascii="仿宋_GB2312" w:cs="仿宋_GB2312" w:eastAsia="仿宋_GB2312" w:hAnsi="仿宋_GB2312" w:hint="eastAsia"/>
          <w:sz w:val="32"/>
          <w:szCs w:val="32"/>
        </w:rPr>
        <w:t>机构（提供资格证书复印件）</w:t>
      </w: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4.具有依法缴纳税收和社会保障资金的良好记录(格式自定义提供承诺函);</w:t>
      </w: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5.具有履行项目所必需的人员和资质(格式自定义提供承诺函);</w:t>
      </w:r>
    </w:p>
    <w:p>
      <w:pPr>
        <w:pStyle w:val="style0"/>
        <w:jc w:val="left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6.</w:t>
      </w:r>
      <w:r>
        <w:rPr>
          <w:rFonts w:ascii="Calibri" w:cs="Times New Roman" w:eastAsia="宋体" w:hAnsi="Calibri"/>
          <w:szCs w:val="24"/>
        </w:rPr>
        <w:t xml:space="preserve"> </w:t>
      </w:r>
      <w:r>
        <w:rPr>
          <w:rFonts w:ascii="仿宋_GB2312" w:cs="仿宋_GB2312" w:eastAsia="仿宋_GB2312" w:hAnsi="仿宋_GB2312" w:hint="eastAsia"/>
          <w:sz w:val="32"/>
          <w:szCs w:val="32"/>
        </w:rPr>
        <w:t>未被列入：中国执行信息公开网（http://zxgk.court.gov.cn/）的“失信被执行人”；信用中国网站（www.creditchina.gov.cn）的“政府采购严重违法失信名单”、“重大税收违法失信主体”和中国政府采购网（www.ccgp.gov.cn）的“政府采购严重违法失信行为记录名单”网站公布的信用记录为准（注：采购人将于本项目投标截止日在“信用中国”网站、“中国执行信息公开网”、“中国政府采购网”网站等渠道对投标人进行信用记录查询，存在不良信用记录，参与本项目的将被拒绝）；(提供查询结果的网页截图并加盖章单位公章);</w:t>
      </w: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7.法定代表人为同一人的两个及两个以上法人、母公司、全资子公司及其控股公司，不得在本项目中同时参加比选(格式自定义提供声明);</w:t>
      </w: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8.提供资质、业务领域业绩、人员技术力量、报价及信用等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材料</w:t>
      </w:r>
      <w:r>
        <w:rPr>
          <w:rFonts w:ascii="仿宋_GB2312" w:cs="仿宋_GB2312" w:eastAsia="仿宋_GB2312" w:hAnsi="仿宋_GB2312" w:hint="eastAsia"/>
          <w:sz w:val="32"/>
          <w:szCs w:val="32"/>
        </w:rPr>
        <w:t>(格式自定义提供)</w:t>
      </w: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/>
          <w:sz w:val="32"/>
          <w:szCs w:val="32"/>
        </w:rPr>
        <w:t>9.</w:t>
      </w:r>
      <w:r>
        <w:rPr>
          <w:rFonts w:ascii="仿宋_GB2312" w:cs="仿宋_GB2312" w:eastAsia="仿宋_GB2312" w:hAnsi="仿宋_GB2312" w:hint="eastAsia"/>
          <w:sz w:val="32"/>
          <w:szCs w:val="32"/>
        </w:rPr>
        <w:t>投标人认为需要提供的其他资料</w:t>
      </w: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/>
          <w:sz w:val="32"/>
          <w:szCs w:val="32"/>
        </w:rPr>
      </w:pPr>
    </w:p>
    <w:p>
      <w:pPr>
        <w:pStyle w:val="style0"/>
        <w:rPr/>
      </w:pPr>
    </w:p>
    <w:bookmarkStart w:id="0" w:name="_GoBack"/>
    <w:bookmarkEnd w:id="0"/>
    <w:p>
      <w:pPr>
        <w:pStyle w:val="style0"/>
        <w:rPr>
          <w:rFonts w:ascii="仿宋_GB2312" w:cs="仿宋_GB2312" w:eastAsia="仿宋_GB2312" w:hAnsi="仿宋_GB2312"/>
          <w:b w:val="false"/>
          <w:bCs w:val="false"/>
          <w:color w:val="auto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85">
    <w:name w:val="Hyperlink"/>
    <w:basedOn w:val="style65"/>
    <w:next w:val="style85"/>
    <w:qFormat/>
    <w:uiPriority w:val="0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CF79D1-E4BA-429B-ACA9-ADD4641916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1958</Words>
  <Pages>3</Pages>
  <Characters>2235</Characters>
  <Application>WPS Office</Application>
  <DocSecurity>0</DocSecurity>
  <Paragraphs>156</Paragraphs>
  <ScaleCrop>false</ScaleCrop>
  <Company>Microsoft</Company>
  <LinksUpToDate>false</LinksUpToDate>
  <CharactersWithSpaces>2261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2024-09-29T00:38:00Z</dcterms:created>
  <dc:creator>Administrator</dc:creator>
  <lastModifiedBy>M2012K11AC</lastModifiedBy>
  <dcterms:modified xsi:type="dcterms:W3CDTF">2024-10-19T02:26:20Z</dcterms:modified>
  <revision>40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a9c6b90aa4384ed197e695fcb33d5cd9</vt:lpwstr>
  </property>
</Properties>
</file>